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before="200" w:line="240" w:lineRule="auto"/>
        <w:rPr>
          <w:rFonts w:ascii="Inter" w:cs="Inter" w:eastAsia="Inter" w:hAnsi="Inter"/>
          <w:b w:val="1"/>
          <w:bCs w:val="1"/>
          <w:sz w:val="40"/>
          <w:szCs w:val="40"/>
        </w:rPr>
      </w:pPr>
      <w:bookmarkStart w:colFirst="0" w:colLast="0" w:name="_dar7mpdy47x8" w:id="0"/>
      <w:bookmarkEnd w:id="0"/>
      <w:r w:rsidDel="00000000" w:rsidR="00000000" w:rsidRPr="00000000">
        <w:rPr>
          <w:rFonts w:ascii="Inter" w:cs="Inter" w:eastAsia="Inter" w:hAnsi="Inter"/>
          <w:b w:val="1"/>
          <w:bCs w:val="1"/>
          <w:sz w:val="40"/>
          <w:szCs w:val="40"/>
          <w:rtl w:val="0"/>
        </w:rPr>
        <w:t xml:space="preserve">1. Solution Information</w:t>
      </w:r>
    </w:p>
    <w:p w:rsidR="00000000" w:rsidDel="00000000" w:rsidP="00000000" w:rsidRDefault="00000000" w:rsidRPr="00000000" w14:paraId="00000002">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Solution Title: </w:t>
      </w:r>
    </w:p>
    <w:p w:rsidR="00000000" w:rsidDel="00000000" w:rsidP="00000000" w:rsidRDefault="00000000" w:rsidRPr="00000000" w14:paraId="00000003">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Co-Development Partners 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Primary Implementing Partner(s): </w:t>
      </w:r>
    </w:p>
    <w:p w:rsidR="00000000" w:rsidDel="00000000" w:rsidP="00000000" w:rsidRDefault="00000000" w:rsidRPr="00000000" w14:paraId="0000000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 the organizations involved in co-developing the solution and identify the primary implementing partner(s) responsible for operational use. (Refer to the Stakeholder Mapping outputs to ensure this section clearly identifies the specific stakeholders and user groups targeted for adoption and long-term sustainability.)</w:t>
      </w:r>
    </w:p>
    <w:p w:rsidR="00000000" w:rsidDel="00000000" w:rsidP="00000000" w:rsidRDefault="00000000" w:rsidRPr="00000000" w14:paraId="00000005">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Intended Operational Environment and Sustainability Requirements:</w:t>
      </w:r>
    </w:p>
    <w:p w:rsidR="00000000" w:rsidDel="00000000" w:rsidP="00000000" w:rsidRDefault="00000000" w:rsidRPr="00000000" w14:paraId="0000000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where and how the solution is expected to operate (e.g., internal agency systems, cloud-based platforms, partner-managed infrastructure).</w:t>
      </w:r>
    </w:p>
    <w:p w:rsidR="00000000" w:rsidDel="00000000" w:rsidP="00000000" w:rsidRDefault="00000000" w:rsidRPr="00000000" w14:paraId="0000000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Style w:val="Heading2"/>
        <w:keepNext w:val="0"/>
        <w:keepLines w:val="0"/>
        <w:widowControl w:val="0"/>
        <w:spacing w:after="200" w:before="200" w:line="240" w:lineRule="auto"/>
        <w:rPr>
          <w:rFonts w:ascii="Inter" w:cs="Inter" w:eastAsia="Inter" w:hAnsi="Inter"/>
          <w:b w:val="1"/>
          <w:bCs w:val="1"/>
          <w:sz w:val="40"/>
          <w:szCs w:val="40"/>
        </w:rPr>
      </w:pPr>
      <w:bookmarkStart w:colFirst="0" w:colLast="0" w:name="_d8ldi1b7ch7f" w:id="1"/>
      <w:bookmarkEnd w:id="1"/>
      <w:r w:rsidDel="00000000" w:rsidR="00000000" w:rsidRPr="00000000">
        <w:rPr>
          <w:rFonts w:ascii="Inter" w:cs="Inter" w:eastAsia="Inter" w:hAnsi="Inter"/>
          <w:b w:val="1"/>
          <w:bCs w:val="1"/>
          <w:sz w:val="40"/>
          <w:szCs w:val="40"/>
          <w:rtl w:val="0"/>
        </w:rPr>
        <w:t xml:space="preserve">2. Adoption Strategy</w:t>
      </w:r>
    </w:p>
    <w:p w:rsidR="00000000" w:rsidDel="00000000" w:rsidP="00000000" w:rsidRDefault="00000000" w:rsidRPr="00000000" w14:paraId="0000000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describes the overall approach for enabling and supporting adoption of the solution by its intended users. The adoption strategy should outline the context, assumptions, needs, expectations, roles, and risks associated with transitioning the solution from development to routine operational use. </w:t>
      </w:r>
    </w:p>
    <w:p w:rsidR="00000000" w:rsidDel="00000000" w:rsidP="00000000" w:rsidRDefault="00000000" w:rsidRPr="00000000" w14:paraId="0000000A">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adoption strategy should address:</w:t>
      </w:r>
    </w:p>
    <w:p w:rsidR="00000000" w:rsidDel="00000000" w:rsidP="00000000" w:rsidRDefault="00000000" w:rsidRPr="00000000" w14:paraId="0000000C">
      <w:pPr>
        <w:widowControl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the solution will be introduced and integrated into existing partner workflows</w:t>
      </w:r>
    </w:p>
    <w:p w:rsidR="00000000" w:rsidDel="00000000" w:rsidP="00000000" w:rsidRDefault="00000000" w:rsidRPr="00000000" w14:paraId="0000000D">
      <w:pPr>
        <w:widowControl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users and implementing partners need in order to adopt the solution successfully</w:t>
      </w:r>
    </w:p>
    <w:p w:rsidR="00000000" w:rsidDel="00000000" w:rsidP="00000000" w:rsidRDefault="00000000" w:rsidRPr="00000000" w14:paraId="0000000E">
      <w:pPr>
        <w:widowControl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Assumptions about institutional capacity, staffing, and resources</w:t>
      </w:r>
    </w:p>
    <w:p w:rsidR="00000000" w:rsidDel="00000000" w:rsidP="00000000" w:rsidRDefault="00000000" w:rsidRPr="00000000" w14:paraId="0000000F">
      <w:pPr>
        <w:widowControl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Expectations for user engagement, training, and support</w:t>
      </w:r>
    </w:p>
    <w:p w:rsidR="00000000" w:rsidDel="00000000" w:rsidP="00000000" w:rsidRDefault="00000000" w:rsidRPr="00000000" w14:paraId="00000010">
      <w:pPr>
        <w:widowControl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Roles and responsibilities related specifically to adoption and operational use</w:t>
      </w:r>
    </w:p>
    <w:p w:rsidR="00000000" w:rsidDel="00000000" w:rsidP="00000000" w:rsidRDefault="00000000" w:rsidRPr="00000000" w14:paraId="00000011">
      <w:pPr>
        <w:widowControl w:val="0"/>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risks to adoption and how they will be mitigated</w:t>
      </w:r>
    </w:p>
    <w:p w:rsidR="00000000" w:rsidDel="00000000" w:rsidP="00000000" w:rsidRDefault="00000000" w:rsidRPr="00000000" w14:paraId="00000012">
      <w:pPr>
        <w:widowControl w:val="0"/>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Style w:val="Heading3"/>
        <w:keepNext w:val="0"/>
        <w:keepLines w:val="0"/>
        <w:spacing w:after="0" w:before="0" w:line="240" w:lineRule="auto"/>
        <w:rPr>
          <w:rFonts w:ascii="Inter" w:cs="Inter" w:eastAsia="Inter" w:hAnsi="Inter"/>
          <w:color w:val="000000"/>
          <w:sz w:val="32"/>
          <w:szCs w:val="32"/>
        </w:rPr>
      </w:pPr>
      <w:bookmarkStart w:colFirst="0" w:colLast="0" w:name="_bngrv7c31v3o" w:id="2"/>
      <w:bookmarkEnd w:id="2"/>
      <w:r w:rsidDel="00000000" w:rsidR="00000000" w:rsidRPr="00000000">
        <w:rPr>
          <w:rFonts w:ascii="Inter" w:cs="Inter" w:eastAsia="Inter" w:hAnsi="Inter"/>
          <w:color w:val="000000"/>
          <w:sz w:val="32"/>
          <w:szCs w:val="32"/>
          <w:rtl w:val="0"/>
        </w:rPr>
        <w:t xml:space="preserve">2.1 Adoption Goals</w:t>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define what successful adoption of the solution looks like from an operational and user perspective. Adoption goals should focus on actual use, integration into workflows, and ownership, rather than technical performance or development milestones.</w:t>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Adoption goals should be specific, practical, and time-bound, and aligned with the needs and capacity of the intended users and implementing partners. Including a temporal element helps teams:</w:t>
      </w:r>
    </w:p>
    <w:p w:rsidR="00000000" w:rsidDel="00000000" w:rsidP="00000000" w:rsidRDefault="00000000" w:rsidRPr="00000000" w14:paraId="00000018">
      <w:pPr>
        <w:widowControl w:val="0"/>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 realistic expectations for adoption,</w:t>
      </w:r>
    </w:p>
    <w:p w:rsidR="00000000" w:rsidDel="00000000" w:rsidP="00000000" w:rsidRDefault="00000000" w:rsidRPr="00000000" w14:paraId="00000019">
      <w:pPr>
        <w:widowControl w:val="0"/>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accountability and progress tracking, and</w:t>
      </w:r>
    </w:p>
    <w:p w:rsidR="00000000" w:rsidDel="00000000" w:rsidP="00000000" w:rsidRDefault="00000000" w:rsidRPr="00000000" w14:paraId="0000001A">
      <w:pPr>
        <w:widowControl w:val="0"/>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 how long resources and support should be planned for.</w:t>
      </w:r>
    </w:p>
    <w:p w:rsidR="00000000" w:rsidDel="00000000" w:rsidP="00000000" w:rsidRDefault="00000000" w:rsidRPr="00000000" w14:paraId="0000001B">
      <w:pPr>
        <w:widowControl w:val="0"/>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Examples (select and tailor as appropriate, including a timeframe):</w:t>
      </w:r>
    </w:p>
    <w:p w:rsidR="00000000" w:rsidDel="00000000" w:rsidP="00000000" w:rsidRDefault="00000000" w:rsidRPr="00000000" w14:paraId="0000001D">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Integrated into the partner’s annual reporting workflow within 12 months of deployment</w:t>
      </w:r>
    </w:p>
    <w:p w:rsidR="00000000" w:rsidDel="00000000" w:rsidP="00000000" w:rsidRDefault="00000000" w:rsidRPr="00000000" w14:paraId="0000001E">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Used by analysts each season starting in the first operational year</w:t>
      </w:r>
    </w:p>
    <w:p w:rsidR="00000000" w:rsidDel="00000000" w:rsidP="00000000" w:rsidRDefault="00000000" w:rsidRPr="00000000" w14:paraId="0000001F">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Validated for operational decision-making by the end of the pilot phase</w:t>
      </w:r>
    </w:p>
    <w:p w:rsidR="00000000" w:rsidDel="00000000" w:rsidP="00000000" w:rsidRDefault="00000000" w:rsidRPr="00000000" w14:paraId="00000020">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Transferred to and managed by the partner’s internal team within 1–2 years</w:t>
      </w:r>
    </w:p>
    <w:p w:rsidR="00000000" w:rsidDel="00000000" w:rsidP="00000000" w:rsidRDefault="00000000" w:rsidRPr="00000000" w14:paraId="00000021">
      <w:pPr>
        <w:widowControl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Replacing or reducing reliance on manual or legacy methods over a defined transition period</w:t>
      </w:r>
    </w:p>
    <w:p w:rsidR="00000000" w:rsidDel="00000000" w:rsidP="00000000" w:rsidRDefault="00000000" w:rsidRPr="00000000" w14:paraId="00000022">
      <w:pPr>
        <w:widowControl w:val="0"/>
        <w:spacing w:line="240" w:lineRule="auto"/>
        <w:ind w:left="72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3">
      <w:pPr>
        <w:pStyle w:val="Heading3"/>
        <w:spacing w:after="0" w:before="0" w:line="240" w:lineRule="auto"/>
        <w:rPr>
          <w:rFonts w:ascii="Inter" w:cs="Inter" w:eastAsia="Inter" w:hAnsi="Inter"/>
          <w:color w:val="000000"/>
          <w:sz w:val="32"/>
          <w:szCs w:val="32"/>
        </w:rPr>
      </w:pPr>
      <w:bookmarkStart w:colFirst="0" w:colLast="0" w:name="_drsqld5rvfbs" w:id="3"/>
      <w:bookmarkEnd w:id="3"/>
      <w:r w:rsidDel="00000000" w:rsidR="00000000" w:rsidRPr="00000000">
        <w:rPr>
          <w:rFonts w:ascii="Inter" w:cs="Inter" w:eastAsia="Inter" w:hAnsi="Inter"/>
          <w:color w:val="000000"/>
          <w:sz w:val="32"/>
          <w:szCs w:val="32"/>
          <w:rtl w:val="0"/>
        </w:rPr>
        <w:t xml:space="preserve">2.2 End-User Readiness</w:t>
      </w:r>
    </w:p>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 partner readiness in practical terms:</w:t>
      </w:r>
    </w:p>
    <w:p w:rsidR="00000000" w:rsidDel="00000000" w:rsidP="00000000" w:rsidRDefault="00000000" w:rsidRPr="00000000" w14:paraId="00000026">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mandate alignment</w:t>
      </w:r>
    </w:p>
    <w:p w:rsidR="00000000" w:rsidDel="00000000" w:rsidP="00000000" w:rsidRDefault="00000000" w:rsidRPr="00000000" w14:paraId="00000027">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Existing workflows the solution will support</w:t>
      </w:r>
    </w:p>
    <w:p w:rsidR="00000000" w:rsidDel="00000000" w:rsidP="00000000" w:rsidRDefault="00000000" w:rsidRPr="00000000" w14:paraId="00000028">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capacity (software, hardware, staff skills)</w:t>
      </w:r>
    </w:p>
    <w:p w:rsidR="00000000" w:rsidDel="00000000" w:rsidP="00000000" w:rsidRDefault="00000000" w:rsidRPr="00000000" w14:paraId="00000029">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access constraints</w:t>
      </w:r>
    </w:p>
    <w:p w:rsidR="00000000" w:rsidDel="00000000" w:rsidP="00000000" w:rsidRDefault="00000000" w:rsidRPr="00000000" w14:paraId="0000002A">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 needs</w:t>
      </w:r>
    </w:p>
    <w:p w:rsidR="00000000" w:rsidDel="00000000" w:rsidP="00000000" w:rsidRDefault="00000000" w:rsidRPr="00000000" w14:paraId="0000002B">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Barriers to Organizational Adoption Readiness:(e.g., staffing changes, competing priorities, approval processes) (Refer also to the Needs Assessment tool)</w:t>
      </w:r>
    </w:p>
    <w:p w:rsidR="00000000" w:rsidDel="00000000" w:rsidP="00000000" w:rsidRDefault="00000000" w:rsidRPr="00000000" w14:paraId="0000002C">
      <w:pPr>
        <w:widowControl w:val="0"/>
        <w:spacing w:line="240" w:lineRule="auto"/>
        <w:ind w:left="72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D">
      <w:pPr>
        <w:pStyle w:val="Heading3"/>
        <w:keepNext w:val="0"/>
        <w:keepLines w:val="0"/>
        <w:widowControl w:val="0"/>
        <w:spacing w:after="200" w:before="200" w:line="240" w:lineRule="auto"/>
        <w:rPr>
          <w:rFonts w:ascii="Inter" w:cs="Inter" w:eastAsia="Inter" w:hAnsi="Inter"/>
          <w:color w:val="000000"/>
          <w:sz w:val="32"/>
          <w:szCs w:val="32"/>
        </w:rPr>
      </w:pPr>
      <w:bookmarkStart w:colFirst="0" w:colLast="0" w:name="_t30mh0jhapnn" w:id="4"/>
      <w:bookmarkEnd w:id="4"/>
      <w:r w:rsidDel="00000000" w:rsidR="00000000" w:rsidRPr="00000000">
        <w:rPr>
          <w:rFonts w:ascii="Inter" w:cs="Inter" w:eastAsia="Inter" w:hAnsi="Inter"/>
          <w:color w:val="000000"/>
          <w:sz w:val="32"/>
          <w:szCs w:val="32"/>
          <w:rtl w:val="0"/>
        </w:rPr>
        <w:t xml:space="preserve">2.3 Engagement and Co-Development Traceability</w:t>
      </w:r>
    </w:p>
    <w:p w:rsidR="00000000" w:rsidDel="00000000" w:rsidP="00000000" w:rsidRDefault="00000000" w:rsidRPr="00000000" w14:paraId="0000002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document how </w:t>
      </w:r>
      <w:r w:rsidDel="00000000" w:rsidR="00000000" w:rsidRPr="00000000">
        <w:rPr>
          <w:rFonts w:ascii="Times New Roman" w:cs="Times New Roman" w:eastAsia="Times New Roman" w:hAnsi="Times New Roman"/>
          <w:b w:val="1"/>
          <w:bCs w:val="1"/>
          <w:sz w:val="24"/>
          <w:szCs w:val="24"/>
          <w:rtl w:val="0"/>
        </w:rPr>
        <w:t xml:space="preserve">user engagement and co-development activities</w:t>
      </w:r>
      <w:r w:rsidDel="00000000" w:rsidR="00000000" w:rsidRPr="00000000">
        <w:rPr>
          <w:rFonts w:ascii="Times New Roman" w:cs="Times New Roman" w:eastAsia="Times New Roman" w:hAnsi="Times New Roman"/>
          <w:sz w:val="24"/>
          <w:szCs w:val="24"/>
          <w:rtl w:val="0"/>
        </w:rPr>
        <w:t xml:space="preserve"> informed the adoption approach. It provides traceability between user input and adoption decisions, helping demonstrate that the solution and its adoption pathway are grounded in real user needs and constraints.</w:t>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table below as a reference to document user engagement and traceability.</w:t>
      </w:r>
    </w:p>
    <w:tbl>
      <w:tblPr>
        <w:tblStyle w:val="Table1"/>
        <w:tblW w:w="9360.0" w:type="dxa"/>
        <w:jc w:val="left"/>
        <w:tblLayout w:type="fixed"/>
        <w:tblLook w:val="0600"/>
      </w:tblPr>
      <w:tblGrid>
        <w:gridCol w:w="4728.75"/>
        <w:gridCol w:w="2184"/>
        <w:gridCol w:w="2447.25"/>
        <w:tblGridChange w:id="0">
          <w:tblGrid>
            <w:gridCol w:w="4728.75"/>
            <w:gridCol w:w="2184"/>
            <w:gridCol w:w="2447.25"/>
          </w:tblGrid>
        </w:tblGridChange>
      </w:tblGrid>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Engagement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 /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Reference Links (optional)</w:t>
            </w:r>
            <w:r w:rsidDel="00000000" w:rsidR="00000000" w:rsidRPr="00000000">
              <w:rPr>
                <w:rtl w:val="0"/>
              </w:rPr>
            </w:r>
          </w:p>
        </w:tc>
      </w:tr>
      <w:tr>
        <w:trPr>
          <w:cantSplit w:val="0"/>
          <w:trHeight w:val="100.95703125" w:hRule="atLeast"/>
          <w:tblHeader w:val="0"/>
        </w:trPr>
        <w:tc>
          <w:tcPr>
            <w:tcBorders>
              <w:top w:color="000000" w:space="0" w:sz="0" w:val="nil"/>
              <w:left w:color="000000" w:space="0" w:sz="0" w:val="nil"/>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 interviews, focus groups, or co-design sessions</w:t>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user needs identified</w:t>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user priorities and constraints</w:t>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user feedback was incorporated into adoption planning</w:t>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feedback items or deferred requests (future versions)</w:t>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Stakeholder expectations regarding adoption timeline</w:t>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pStyle w:val="Heading3"/>
        <w:spacing w:after="0" w:before="0" w:line="240" w:lineRule="auto"/>
        <w:rPr>
          <w:rFonts w:ascii="Inter" w:cs="Inter" w:eastAsia="Inter" w:hAnsi="Inter"/>
          <w:color w:val="000000"/>
          <w:sz w:val="32"/>
          <w:szCs w:val="32"/>
        </w:rPr>
      </w:pPr>
      <w:bookmarkStart w:colFirst="0" w:colLast="0" w:name="_s7nz4jvditce" w:id="5"/>
      <w:bookmarkEnd w:id="5"/>
      <w:r w:rsidDel="00000000" w:rsidR="00000000" w:rsidRPr="00000000">
        <w:rPr>
          <w:rFonts w:ascii="Inter" w:cs="Inter" w:eastAsia="Inter" w:hAnsi="Inter"/>
          <w:color w:val="000000"/>
          <w:sz w:val="32"/>
          <w:szCs w:val="32"/>
          <w:rtl w:val="0"/>
        </w:rPr>
        <w:t xml:space="preserve">2.4 Training, Knowledge Transfer &amp; Onboarding Plan</w:t>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describes the training and onboarding activities required to enable effective and sustained adoption of the solution. The focus should be on ensuring that intended users have the knowledge, skills, and support needed to use the solution confidently within their operational workflows.Training and onboarding plans should be tailored to the capacity of the implementing partner and reflect the complexity of the solution, expected frequency of use, and level of institutional ownership.</w:t>
      </w:r>
    </w:p>
    <w:p w:rsidR="00000000" w:rsidDel="00000000" w:rsidP="00000000" w:rsidRDefault="00000000" w:rsidRPr="00000000" w14:paraId="0000004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table as reference below to document training and onboarding plans.</w:t>
      </w:r>
    </w:p>
    <w:tbl>
      <w:tblPr>
        <w:tblStyle w:val="Table2"/>
        <w:tblW w:w="8850.0" w:type="dxa"/>
        <w:jc w:val="left"/>
        <w:tblLayout w:type="fixed"/>
        <w:tblLook w:val="0600"/>
      </w:tblPr>
      <w:tblGrid>
        <w:gridCol w:w="3915"/>
        <w:gridCol w:w="1275"/>
        <w:gridCol w:w="1980"/>
        <w:gridCol w:w="1680"/>
        <w:tblGridChange w:id="0">
          <w:tblGrid>
            <w:gridCol w:w="3915"/>
            <w:gridCol w:w="1275"/>
            <w:gridCol w:w="1980"/>
            <w:gridCol w:w="1680"/>
          </w:tblGrid>
        </w:tblGridChange>
      </w:tblGrid>
      <w:tr>
        <w:trPr>
          <w:cantSplit w:val="0"/>
          <w:trHeight w:val="426.94126005951546"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Training / Onboarding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Owner / Responsible Party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Timeline / Frequency</w:t>
            </w:r>
            <w:r w:rsidDel="00000000" w:rsidR="00000000" w:rsidRPr="00000000">
              <w:rPr>
                <w:rtl w:val="0"/>
              </w:rPr>
            </w:r>
          </w:p>
        </w:tc>
      </w:tr>
      <w:tr>
        <w:trPr>
          <w:cantSplit w:val="0"/>
          <w:trHeight w:val="426.94126005951546" w:hRule="atLeast"/>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Required training materials (SOPs, slides, videos, job aids)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287.38050071430246" w:hRule="atLeast"/>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sessions (content, duration, format)</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287.38050071430246" w:hRule="atLeast"/>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Delivery format (virtual, in-person, hybrid)</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426.94126005951546" w:hRule="atLeast"/>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rPr>
            </w:pPr>
            <w:r w:rsidDel="00000000" w:rsidR="00000000" w:rsidRPr="00000000">
              <w:rPr>
                <w:rFonts w:ascii="Cardo" w:cs="Cardo" w:eastAsia="Cardo" w:hAnsi="Cardo"/>
                <w:rtl w:val="0"/>
              </w:rPr>
              <w:t xml:space="preserve">Onboarding workflow (e.g., pre-training → hands-on → certification)</w:t>
            </w: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426.94126005951546" w:hRule="atLeast"/>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Ongoing support mechanisms (helpdesk, office hours, maintainer contact)</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285.3157552083333" w:hRule="atLeast"/>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champions / focal points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pStyle w:val="Heading2"/>
        <w:spacing w:after="200" w:before="200" w:line="240" w:lineRule="auto"/>
        <w:rPr>
          <w:rFonts w:ascii="Inter" w:cs="Inter" w:eastAsia="Inter" w:hAnsi="Inter"/>
          <w:b w:val="1"/>
          <w:bCs w:val="1"/>
          <w:sz w:val="40"/>
          <w:szCs w:val="40"/>
        </w:rPr>
      </w:pPr>
      <w:bookmarkStart w:colFirst="0" w:colLast="0" w:name="_2gwz2dkyfs71" w:id="6"/>
      <w:bookmarkEnd w:id="6"/>
      <w:r w:rsidDel="00000000" w:rsidR="00000000" w:rsidRPr="00000000">
        <w:rPr>
          <w:rFonts w:ascii="Inter" w:cs="Inter" w:eastAsia="Inter" w:hAnsi="Inter"/>
          <w:b w:val="1"/>
          <w:bCs w:val="1"/>
          <w:sz w:val="40"/>
          <w:szCs w:val="40"/>
          <w:rtl w:val="0"/>
        </w:rPr>
        <w:t xml:space="preserve">3. Sustainability Strategy</w:t>
      </w:r>
    </w:p>
    <w:p w:rsidR="00000000" w:rsidDel="00000000" w:rsidP="00000000" w:rsidRDefault="00000000" w:rsidRPr="00000000" w14:paraId="0000006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describe the overall strategy for ensuring the solution can be maintained, supported, and used over the long term beyond the initial development and deployment period. The sustainability strategy focuses on practical considerations related to technical upkeep, data continuity, institutional ownership, and resourcing.</w:t>
      </w:r>
    </w:p>
    <w:p w:rsidR="00000000" w:rsidDel="00000000" w:rsidP="00000000" w:rsidRDefault="00000000" w:rsidRPr="00000000" w14:paraId="0000006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sustainability strategy should clearly describe:</w:t>
      </w:r>
    </w:p>
    <w:p w:rsidR="00000000" w:rsidDel="00000000" w:rsidP="00000000" w:rsidRDefault="00000000" w:rsidRPr="00000000" w14:paraId="0000006C">
      <w:pPr>
        <w:widowControl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the solution will remain technically functional over time, , including the expected duration of support and maintenance (e.g., short-term, medium-term, or long-term horizons)</w:t>
      </w:r>
    </w:p>
    <w:p w:rsidR="00000000" w:rsidDel="00000000" w:rsidP="00000000" w:rsidRDefault="00000000" w:rsidRPr="00000000" w14:paraId="0000006D">
      <w:pPr>
        <w:widowControl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data will be updated, managed, and stewarded</w:t>
      </w:r>
    </w:p>
    <w:p w:rsidR="00000000" w:rsidDel="00000000" w:rsidP="00000000" w:rsidRDefault="00000000" w:rsidRPr="00000000" w14:paraId="0000006E">
      <w:pPr>
        <w:widowControl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will own and maintain the solution after development</w:t>
      </w:r>
    </w:p>
    <w:p w:rsidR="00000000" w:rsidDel="00000000" w:rsidP="00000000" w:rsidRDefault="00000000" w:rsidRPr="00000000" w14:paraId="0000006F">
      <w:pPr>
        <w:widowControl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resources are required to sustain operations</w:t>
      </w:r>
    </w:p>
    <w:p w:rsidR="00000000" w:rsidDel="00000000" w:rsidP="00000000" w:rsidRDefault="00000000" w:rsidRPr="00000000" w14:paraId="00000070">
      <w:pPr>
        <w:widowControl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risks to sustainability and how they will be addressed</w:t>
      </w:r>
    </w:p>
    <w:p w:rsidR="00000000" w:rsidDel="00000000" w:rsidP="00000000" w:rsidRDefault="00000000" w:rsidRPr="00000000" w14:paraId="00000071">
      <w:pPr>
        <w:widowControl w:val="0"/>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Style w:val="Heading3"/>
        <w:spacing w:after="0" w:before="0" w:line="240" w:lineRule="auto"/>
        <w:rPr>
          <w:rFonts w:ascii="Inter" w:cs="Inter" w:eastAsia="Inter" w:hAnsi="Inter"/>
          <w:color w:val="000000"/>
          <w:sz w:val="32"/>
          <w:szCs w:val="32"/>
        </w:rPr>
      </w:pPr>
      <w:bookmarkStart w:colFirst="0" w:colLast="0" w:name="_60t2vfca9fzf" w:id="7"/>
      <w:bookmarkEnd w:id="7"/>
      <w:r w:rsidDel="00000000" w:rsidR="00000000" w:rsidRPr="00000000">
        <w:rPr>
          <w:rFonts w:ascii="Inter" w:cs="Inter" w:eastAsia="Inter" w:hAnsi="Inter"/>
          <w:color w:val="000000"/>
          <w:sz w:val="32"/>
          <w:szCs w:val="32"/>
          <w:rtl w:val="0"/>
        </w:rPr>
        <w:t xml:space="preserve">3.1 Sustainability Objectives</w:t>
      </w:r>
    </w:p>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define the long-term outcomes the solution is expected to achieve once it has moved beyond initial development and deployment. Sustainability objectives should reflect what success looks like after the project period, including expectations for ownership, resourcing, and continuity, with clear indication of whether sustainability is intended for a defined time horizon (e.g., short- or medium-term) or for ongoing/perpetual operation. Sustainability objectives should reflect what success looks like after the project period, including expectations for ownership, resourcing, and continuity.</w:t>
      </w:r>
    </w:p>
    <w:p w:rsidR="00000000" w:rsidDel="00000000" w:rsidP="00000000" w:rsidRDefault="00000000" w:rsidRPr="00000000" w14:paraId="0000007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Examples (select and tailor as appropriate):</w:t>
      </w:r>
    </w:p>
    <w:p w:rsidR="00000000" w:rsidDel="00000000" w:rsidP="00000000" w:rsidRDefault="00000000" w:rsidRPr="00000000" w14:paraId="00000077">
      <w:pPr>
        <w:widowControl w:val="0"/>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Solution runs annually with minimal outside support</w:t>
      </w:r>
    </w:p>
    <w:p w:rsidR="00000000" w:rsidDel="00000000" w:rsidP="00000000" w:rsidRDefault="00000000" w:rsidRPr="00000000" w14:paraId="00000078">
      <w:pPr>
        <w:widowControl w:val="0"/>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and code kept current beyond the project period</w:t>
      </w:r>
    </w:p>
    <w:p w:rsidR="00000000" w:rsidDel="00000000" w:rsidP="00000000" w:rsidRDefault="00000000" w:rsidRPr="00000000" w14:paraId="00000079">
      <w:pPr>
        <w:widowControl w:val="0"/>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Partner internalizes workflow and maintains ownership</w:t>
      </w:r>
    </w:p>
    <w:p w:rsidR="00000000" w:rsidDel="00000000" w:rsidP="00000000" w:rsidRDefault="00000000" w:rsidRPr="00000000" w14:paraId="0000007A">
      <w:pPr>
        <w:widowControl w:val="0"/>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Solution is resourced and staffed appropriately for sustained operation</w:t>
      </w:r>
    </w:p>
    <w:p w:rsidR="00000000" w:rsidDel="00000000" w:rsidP="00000000" w:rsidRDefault="00000000" w:rsidRPr="00000000" w14:paraId="0000007B">
      <w:pPr>
        <w:widowControl w:val="0"/>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Knowledge is retained across staff turnover</w:t>
      </w:r>
    </w:p>
    <w:p w:rsidR="00000000" w:rsidDel="00000000" w:rsidP="00000000" w:rsidRDefault="00000000" w:rsidRPr="00000000" w14:paraId="0000007C">
      <w:pPr>
        <w:widowControl w:val="0"/>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Feedback loops are established to capture user input, outcomes, and impact after the project period (e.g., usage feedback, outcome metrics, economic or decision-support impacts) to inform ongoing improvement and future use cases or case studies</w:t>
      </w:r>
    </w:p>
    <w:p w:rsidR="00000000" w:rsidDel="00000000" w:rsidP="00000000" w:rsidRDefault="00000000" w:rsidRPr="00000000" w14:paraId="0000007D">
      <w:pPr>
        <w:widowControl w:val="0"/>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references to the Solutions Implementation and Impact Monitoring Plan.</w:t>
      </w:r>
    </w:p>
    <w:p w:rsidR="00000000" w:rsidDel="00000000" w:rsidP="00000000" w:rsidRDefault="00000000" w:rsidRPr="00000000" w14:paraId="0000007F">
      <w:pPr>
        <w:widowControl w:val="0"/>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pStyle w:val="Heading3"/>
        <w:spacing w:after="0" w:before="0" w:line="240" w:lineRule="auto"/>
        <w:rPr>
          <w:rFonts w:ascii="Inter" w:cs="Inter" w:eastAsia="Inter" w:hAnsi="Inter"/>
          <w:color w:val="000000"/>
          <w:sz w:val="32"/>
          <w:szCs w:val="32"/>
        </w:rPr>
      </w:pPr>
      <w:bookmarkStart w:colFirst="0" w:colLast="0" w:name="_5zqpm69zf5kz" w:id="8"/>
      <w:bookmarkEnd w:id="8"/>
      <w:r w:rsidDel="00000000" w:rsidR="00000000" w:rsidRPr="00000000">
        <w:rPr>
          <w:rFonts w:ascii="Inter" w:cs="Inter" w:eastAsia="Inter" w:hAnsi="Inter"/>
          <w:color w:val="000000"/>
          <w:sz w:val="32"/>
          <w:szCs w:val="32"/>
          <w:rtl w:val="0"/>
        </w:rPr>
        <w:t xml:space="preserve">3.2 Technical Sustainability</w:t>
      </w:r>
    </w:p>
    <w:p w:rsidR="00000000" w:rsidDel="00000000" w:rsidP="00000000" w:rsidRDefault="00000000" w:rsidRPr="00000000" w14:paraId="0000008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describe how the solution will remain technically functional, reliable, and maintainable over the long term. It should focus on the systems, workflows, and dependencies that enable continued operation after initial development and deployment.</w:t>
      </w:r>
    </w:p>
    <w:p w:rsidR="00000000" w:rsidDel="00000000" w:rsidP="00000000" w:rsidRDefault="00000000" w:rsidRPr="00000000" w14:paraId="0000008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table below to document technical sustainability considerations</w:t>
      </w:r>
    </w:p>
    <w:tbl>
      <w:tblPr>
        <w:tblStyle w:val="Table3"/>
        <w:tblW w:w="9360.000000000002" w:type="dxa"/>
        <w:jc w:val="left"/>
        <w:tblLayout w:type="fixed"/>
        <w:tblLook w:val="0600"/>
      </w:tblPr>
      <w:tblGrid>
        <w:gridCol w:w="3964.966785896781"/>
        <w:gridCol w:w="1353.5411343893716"/>
        <w:gridCol w:w="2114.0112416964744"/>
        <w:gridCol w:w="1927.4808380173736"/>
        <w:tblGridChange w:id="0">
          <w:tblGrid>
            <w:gridCol w:w="3964.966785896781"/>
            <w:gridCol w:w="1353.5411343893716"/>
            <w:gridCol w:w="2114.0112416964744"/>
            <w:gridCol w:w="1927.4808380173736"/>
          </w:tblGrid>
        </w:tblGridChange>
      </w:tblGrid>
      <w:tr>
        <w:trPr>
          <w:cantSplit w:val="0"/>
          <w:trHeight w:val="195"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Technical Sustainability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8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Owner / Responsible Party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Notes / Dependencies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Repository location and ownership (e.g., GitHub, internal systems)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Version control and release strategy</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Update frequency (annual, seasonal, ad hoc)</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Required technical skill sets for maintenance</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Software, library, API, or cloud dependencies requiring monitoring</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Level of automation in processing pipelines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Location of technical documentation and maintenance guides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A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pStyle w:val="Heading3"/>
        <w:spacing w:after="0" w:before="0" w:line="240" w:lineRule="auto"/>
        <w:rPr>
          <w:rFonts w:ascii="Inter" w:cs="Inter" w:eastAsia="Inter" w:hAnsi="Inter"/>
          <w:color w:val="000000"/>
          <w:sz w:val="32"/>
          <w:szCs w:val="32"/>
        </w:rPr>
      </w:pPr>
      <w:bookmarkStart w:colFirst="0" w:colLast="0" w:name="_dtmymnun1jd9" w:id="9"/>
      <w:bookmarkEnd w:id="9"/>
      <w:r w:rsidDel="00000000" w:rsidR="00000000" w:rsidRPr="00000000">
        <w:rPr>
          <w:rFonts w:ascii="Inter" w:cs="Inter" w:eastAsia="Inter" w:hAnsi="Inter"/>
          <w:color w:val="000000"/>
          <w:sz w:val="32"/>
          <w:szCs w:val="32"/>
          <w:rtl w:val="0"/>
        </w:rPr>
        <w:t xml:space="preserve">3.3 Data Sustainability</w:t>
      </w:r>
    </w:p>
    <w:p w:rsidR="00000000" w:rsidDel="00000000" w:rsidP="00000000" w:rsidRDefault="00000000" w:rsidRPr="00000000" w14:paraId="000000A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describe how the data required to operate the solution will be maintained, updated, and managed over the long term. It focuses on ensuring continuity, reliability, and accessibility of data beyond the initial project period.</w:t>
      </w:r>
    </w:p>
    <w:p w:rsidR="00000000" w:rsidDel="00000000" w:rsidP="00000000" w:rsidRDefault="00000000" w:rsidRPr="00000000" w14:paraId="000000A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table below to document data sustainability considerations.</w:t>
      </w:r>
    </w:p>
    <w:tbl>
      <w:tblPr>
        <w:tblStyle w:val="Table4"/>
        <w:tblW w:w="9390.0" w:type="dxa"/>
        <w:jc w:val="left"/>
        <w:tblLayout w:type="fixed"/>
        <w:tblLook w:val="0600"/>
      </w:tblPr>
      <w:tblGrid>
        <w:gridCol w:w="4500"/>
        <w:gridCol w:w="1455"/>
        <w:gridCol w:w="1826.6666666666656"/>
        <w:gridCol w:w="1608.3333333333344"/>
        <w:tblGridChange w:id="0">
          <w:tblGrid>
            <w:gridCol w:w="4500"/>
            <w:gridCol w:w="1455"/>
            <w:gridCol w:w="1826.6666666666656"/>
            <w:gridCol w:w="1608.3333333333344"/>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A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Sustainability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A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Owner / Responsible Party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Notes / Dependencies</w:t>
            </w:r>
            <w:r w:rsidDel="00000000" w:rsidR="00000000" w:rsidRPr="00000000">
              <w:rPr>
                <w:rtl w:val="0"/>
              </w:rPr>
            </w:r>
          </w:p>
        </w:tc>
      </w:tr>
      <w:tr>
        <w:trPr>
          <w:cantSplit w:val="0"/>
          <w:trHeight w:val="45" w:hRule="atLeast"/>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inputs required and update schedule</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retention rules and time horizons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Storage locations and backup procedures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Identified data steward(s) or responsible team(s)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for data source changes or discontinuation (e.g., sensor or collection updates)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C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pStyle w:val="Heading3"/>
        <w:spacing w:after="0" w:before="0" w:line="240" w:lineRule="auto"/>
        <w:rPr>
          <w:rFonts w:ascii="Inter" w:cs="Inter" w:eastAsia="Inter" w:hAnsi="Inter"/>
          <w:color w:val="000000"/>
          <w:sz w:val="32"/>
          <w:szCs w:val="32"/>
        </w:rPr>
      </w:pPr>
      <w:bookmarkStart w:colFirst="0" w:colLast="0" w:name="_odo0i1smmkl" w:id="10"/>
      <w:bookmarkEnd w:id="10"/>
      <w:r w:rsidDel="00000000" w:rsidR="00000000" w:rsidRPr="00000000">
        <w:rPr>
          <w:rFonts w:ascii="Inter" w:cs="Inter" w:eastAsia="Inter" w:hAnsi="Inter"/>
          <w:color w:val="000000"/>
          <w:sz w:val="32"/>
          <w:szCs w:val="32"/>
          <w:rtl w:val="0"/>
        </w:rPr>
        <w:t xml:space="preserve">3.4 Institutional Sustainability</w:t>
      </w:r>
    </w:p>
    <w:p w:rsidR="00000000" w:rsidDel="00000000" w:rsidP="00000000" w:rsidRDefault="00000000" w:rsidRPr="00000000" w14:paraId="000000C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describe the organizational and governance conditions that ensure the solution continues to be used and supported beyond initial development. Institutional sustainability focuses on ownership, integration into routine processes, and continuity within the implementing organization, rather than technical or data considerations.</w:t>
      </w:r>
    </w:p>
    <w:p w:rsidR="00000000" w:rsidDel="00000000" w:rsidP="00000000" w:rsidRDefault="00000000" w:rsidRPr="00000000" w14:paraId="000000C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table below to document institutional sustainability considerations.</w:t>
      </w:r>
    </w:p>
    <w:tbl>
      <w:tblPr>
        <w:tblStyle w:val="Table5"/>
        <w:tblW w:w="9360.0" w:type="dxa"/>
        <w:jc w:val="left"/>
        <w:tblLayout w:type="fixed"/>
        <w:tblLook w:val="0600"/>
      </w:tblPr>
      <w:tblGrid>
        <w:gridCol w:w="4251.936637710782"/>
        <w:gridCol w:w="1353.5411343893716"/>
        <w:gridCol w:w="1927.4808380173736"/>
        <w:gridCol w:w="1827.0413898824734"/>
        <w:tblGridChange w:id="0">
          <w:tblGrid>
            <w:gridCol w:w="4251.936637710782"/>
            <w:gridCol w:w="1353.5411343893716"/>
            <w:gridCol w:w="1927.4808380173736"/>
            <w:gridCol w:w="1827.041389882473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C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Institutional Sustainability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C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Owner / Responsible Party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C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Notes / Dependencies</w:t>
            </w:r>
            <w:r w:rsidDel="00000000" w:rsidR="00000000" w:rsidRPr="00000000">
              <w:rPr>
                <w:rtl w:val="0"/>
              </w:rPr>
            </w:r>
          </w:p>
        </w:tc>
      </w:tr>
      <w:tr>
        <w:trPr>
          <w:cantSplit w:val="0"/>
          <w:trHeight w:val="45" w:hRule="atLeast"/>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Long-term owner of the solution (organization and responsible team)</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Integration into formal workflows, mandates, or reporting cycles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Cross-training or redundancy plans to manage staff turnover</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Requirements for institutionalizing the workflow (e.g., SOPs, approvals, policy alignment)</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Alignment with ongoing national, regional, or organizational programs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D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Style w:val="Heading3"/>
        <w:spacing w:after="0" w:before="0" w:line="240" w:lineRule="auto"/>
        <w:rPr>
          <w:rFonts w:ascii="Inter" w:cs="Inter" w:eastAsia="Inter" w:hAnsi="Inter"/>
          <w:color w:val="000000"/>
          <w:sz w:val="32"/>
          <w:szCs w:val="32"/>
        </w:rPr>
      </w:pPr>
      <w:bookmarkStart w:colFirst="0" w:colLast="0" w:name="_bxlr71sj19nt" w:id="11"/>
      <w:bookmarkEnd w:id="11"/>
      <w:r w:rsidDel="00000000" w:rsidR="00000000" w:rsidRPr="00000000">
        <w:rPr>
          <w:rFonts w:ascii="Inter" w:cs="Inter" w:eastAsia="Inter" w:hAnsi="Inter"/>
          <w:color w:val="000000"/>
          <w:sz w:val="32"/>
          <w:szCs w:val="32"/>
          <w:rtl w:val="0"/>
        </w:rPr>
        <w:t xml:space="preserve">3.5 Resource Sustainability</w:t>
      </w:r>
    </w:p>
    <w:p w:rsidR="00000000" w:rsidDel="00000000" w:rsidP="00000000" w:rsidRDefault="00000000" w:rsidRPr="00000000" w14:paraId="000000E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describe the human, financial, and infrastructure resources required to sustain the solution across its lifecycle, from early operations through long-term use. Resource sustainability focuses on ensuring that the solution can be maintained at an appropriate level of effort without relying on short-term or ad hoc support. This section should consider both expected resource needs under normal operation and the minimum level of support required to keep the solution functional if resources are constrained.</w:t>
      </w:r>
    </w:p>
    <w:p w:rsidR="00000000" w:rsidDel="00000000" w:rsidP="00000000" w:rsidRDefault="00000000" w:rsidRPr="00000000" w14:paraId="000000E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table below to document resource sustainability considerations.</w:t>
      </w:r>
    </w:p>
    <w:tbl>
      <w:tblPr>
        <w:tblStyle w:val="Table6"/>
        <w:tblW w:w="9360.0" w:type="dxa"/>
        <w:jc w:val="left"/>
        <w:tblLayout w:type="fixed"/>
        <w:tblLook w:val="0600"/>
      </w:tblPr>
      <w:tblGrid>
        <w:gridCol w:w="4251.936637710782"/>
        <w:gridCol w:w="1353.5411343893716"/>
        <w:gridCol w:w="1884.4353602452734"/>
        <w:gridCol w:w="1870.0868676545733"/>
        <w:tblGridChange w:id="0">
          <w:tblGrid>
            <w:gridCol w:w="4251.936637710782"/>
            <w:gridCol w:w="1353.5411343893716"/>
            <w:gridCol w:w="1884.4353602452734"/>
            <w:gridCol w:w="1870.0868676545733"/>
          </w:tblGrid>
        </w:tblGridChange>
      </w:tblGrid>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E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Sustainability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E6">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Level / Cost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0E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Notes / Assumptions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Estimated annual level of effort to sustain operations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Required expertise and roles (e.g., developer, data manager, analyst)</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Cloud, compute, or storage costs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Non-labor costs (e.g., travel, meetings, licensing)</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Minimum support requirements to keep the solution operational</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Budget planning considerations (funding sources, cost-sharing)</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pStyle w:val="Heading2"/>
        <w:spacing w:after="200" w:before="200" w:line="240" w:lineRule="auto"/>
        <w:rPr>
          <w:rFonts w:ascii="Times New Roman" w:cs="Times New Roman" w:eastAsia="Times New Roman" w:hAnsi="Times New Roman"/>
          <w:b w:val="1"/>
          <w:bCs w:val="1"/>
          <w:i w:val="1"/>
          <w:iCs w:val="1"/>
          <w:sz w:val="40"/>
          <w:szCs w:val="40"/>
        </w:rPr>
      </w:pPr>
      <w:bookmarkStart w:colFirst="0" w:colLast="0" w:name="_pksfv76t7vc3" w:id="12"/>
      <w:bookmarkEnd w:id="12"/>
      <w:r w:rsidDel="00000000" w:rsidR="00000000" w:rsidRPr="00000000">
        <w:rPr>
          <w:rFonts w:ascii="Inter" w:cs="Inter" w:eastAsia="Inter" w:hAnsi="Inter"/>
          <w:b w:val="1"/>
          <w:bCs w:val="1"/>
          <w:sz w:val="40"/>
          <w:szCs w:val="40"/>
          <w:rtl w:val="0"/>
        </w:rPr>
        <w:t xml:space="preserve">4. Roles and Responsibilities Upon Successful Transfer</w:t>
      </w:r>
      <w:r w:rsidDel="00000000" w:rsidR="00000000" w:rsidRPr="00000000">
        <w:rPr>
          <w:rtl w:val="0"/>
        </w:rPr>
      </w:r>
    </w:p>
    <w:p w:rsidR="00000000" w:rsidDel="00000000" w:rsidP="00000000" w:rsidRDefault="00000000" w:rsidRPr="00000000" w14:paraId="0000010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define the roles and responsibilities after the solution has been transferred to operational use. It clarifies ownership, accountability, and points of contact to support sustained operation, maintenance, and user engagement over the long term. The roles listed here should reflect the post-handover state, rather than development or build-phase responsibilities. This section helps ensure continuity by making clear who is responsible for the solution once initial development activities conclude.</w:t>
      </w:r>
    </w:p>
    <w:p w:rsidR="00000000" w:rsidDel="00000000" w:rsidP="00000000" w:rsidRDefault="00000000" w:rsidRPr="00000000" w14:paraId="0000010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widowControl w:val="0"/>
        <w:spacing w:line="240" w:lineRule="auto"/>
        <w:rPr>
          <w:rFonts w:ascii="Times New Roman" w:cs="Times New Roman" w:eastAsia="Times New Roman" w:hAnsi="Times New Roman"/>
          <w:i w:val="1"/>
          <w:i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7">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matrix below to document roles, responsibilities, and organizational ownership.</w:t>
      </w:r>
    </w:p>
    <w:tbl>
      <w:tblPr>
        <w:tblStyle w:val="Table7"/>
        <w:tblW w:w="9360.0" w:type="dxa"/>
        <w:jc w:val="left"/>
        <w:tblLayout w:type="fixed"/>
        <w:tblLook w:val="0600"/>
      </w:tblPr>
      <w:tblGrid>
        <w:gridCol w:w="2304.073694984647"/>
        <w:gridCol w:w="3080.0818833162743"/>
        <w:gridCol w:w="2447.7789150460594"/>
        <w:gridCol w:w="1528.0655066530196"/>
        <w:tblGridChange w:id="0">
          <w:tblGrid>
            <w:gridCol w:w="2304.073694984647"/>
            <w:gridCol w:w="3080.0818833162743"/>
            <w:gridCol w:w="2447.7789150460594"/>
            <w:gridCol w:w="1528.06550665301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0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0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Assigned Person/Team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0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Solution Owner</w:t>
            </w:r>
          </w:p>
        </w:tc>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Oversees long-term operation</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Lead</w:t>
            </w:r>
          </w:p>
        </w:tc>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Code maintenance and updates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Steward</w:t>
            </w:r>
          </w:p>
        </w:tc>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updates and QA/QC</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Product Lead</w:t>
            </w:r>
          </w:p>
        </w:tc>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 engagement and roadmap</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Lead</w:t>
            </w:r>
          </w:p>
        </w:tc>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and onboarding</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Contact</w:t>
            </w:r>
          </w:p>
        </w:tc>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First-line troubleshooting</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Lead</w:t>
            </w:r>
          </w:p>
        </w:tc>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SOPs and manuals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Communications Lead</w:t>
            </w:r>
          </w:p>
        </w:tc>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Outreach and awareness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2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pStyle w:val="Heading2"/>
        <w:spacing w:after="200" w:before="200" w:line="240" w:lineRule="auto"/>
        <w:rPr>
          <w:rFonts w:ascii="Inter" w:cs="Inter" w:eastAsia="Inter" w:hAnsi="Inter"/>
          <w:b w:val="1"/>
          <w:bCs w:val="1"/>
          <w:sz w:val="40"/>
          <w:szCs w:val="40"/>
        </w:rPr>
      </w:pPr>
      <w:bookmarkStart w:colFirst="0" w:colLast="0" w:name="_6tiisula3f3n" w:id="13"/>
      <w:bookmarkEnd w:id="13"/>
      <w:r w:rsidDel="00000000" w:rsidR="00000000" w:rsidRPr="00000000">
        <w:rPr>
          <w:rFonts w:ascii="Inter" w:cs="Inter" w:eastAsia="Inter" w:hAnsi="Inter"/>
          <w:b w:val="1"/>
          <w:bCs w:val="1"/>
          <w:sz w:val="40"/>
          <w:szCs w:val="40"/>
          <w:rtl w:val="0"/>
        </w:rPr>
        <w:t xml:space="preserve">5. Adoption Milestones &amp; Timeline</w:t>
      </w:r>
    </w:p>
    <w:p w:rsidR="00000000" w:rsidDel="00000000" w:rsidP="00000000" w:rsidRDefault="00000000" w:rsidRPr="00000000" w14:paraId="0000013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document the key milestones and timeline associated with solution adoption, from initial onboarding through full operational use and handover. The milestones should focus on user readiness, operational integration, and transition to sustained ownership, rather than technical development tasks.</w:t>
      </w:r>
    </w:p>
    <w:p w:rsidR="00000000" w:rsidDel="00000000" w:rsidP="00000000" w:rsidRDefault="00000000" w:rsidRPr="00000000" w14:paraId="0000013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List major activities and estimated dates.</w:t>
      </w:r>
    </w:p>
    <w:tbl>
      <w:tblPr>
        <w:tblStyle w:val="Table8"/>
        <w:tblW w:w="8445.0" w:type="dxa"/>
        <w:jc w:val="left"/>
        <w:tblLayout w:type="fixed"/>
        <w:tblLook w:val="0600"/>
      </w:tblPr>
      <w:tblGrid>
        <w:gridCol w:w="2400"/>
        <w:gridCol w:w="3075"/>
        <w:gridCol w:w="1725"/>
        <w:gridCol w:w="1245"/>
        <w:tblGridChange w:id="0">
          <w:tblGrid>
            <w:gridCol w:w="2400"/>
            <w:gridCol w:w="3075"/>
            <w:gridCol w:w="1725"/>
            <w:gridCol w:w="12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Milestone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3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Owner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36">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 onboarding complete</w:t>
            </w:r>
          </w:p>
        </w:tc>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analysts trained</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Pilot season operational</w:t>
            </w:r>
          </w:p>
        </w:tc>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Workflow run end-to-end</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reviewed</w:t>
            </w:r>
          </w:p>
        </w:tc>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Partner sign-off</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operational adoption</w:t>
            </w:r>
          </w:p>
        </w:tc>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Solution integrated into annual cycle</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Handover complete</w:t>
            </w:r>
          </w:p>
        </w:tc>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transferred</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4B">
      <w:pPr>
        <w:widowControl w:val="0"/>
        <w:spacing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You may convert this into a </w:t>
      </w:r>
      <w:r w:rsidDel="00000000" w:rsidR="00000000" w:rsidRPr="00000000">
        <w:rPr>
          <w:rFonts w:ascii="Times New Roman" w:cs="Times New Roman" w:eastAsia="Times New Roman" w:hAnsi="Times New Roman"/>
          <w:b w:val="1"/>
          <w:bCs w:val="1"/>
          <w:i w:val="1"/>
          <w:iCs w:val="1"/>
          <w:rtl w:val="0"/>
        </w:rPr>
        <w:t xml:space="preserve">Gantt chart</w:t>
      </w:r>
      <w:r w:rsidDel="00000000" w:rsidR="00000000" w:rsidRPr="00000000">
        <w:rPr>
          <w:rFonts w:ascii="Times New Roman" w:cs="Times New Roman" w:eastAsia="Times New Roman" w:hAnsi="Times New Roman"/>
          <w:i w:val="1"/>
          <w:iCs w:val="1"/>
          <w:rtl w:val="0"/>
        </w:rPr>
        <w:t xml:space="preserve"> for the final toolkit.</w:t>
      </w:r>
    </w:p>
    <w:p w:rsidR="00000000" w:rsidDel="00000000" w:rsidP="00000000" w:rsidRDefault="00000000" w:rsidRPr="00000000" w14:paraId="0000014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pStyle w:val="Heading2"/>
        <w:spacing w:after="200" w:before="200" w:line="240" w:lineRule="auto"/>
        <w:rPr>
          <w:rFonts w:ascii="Times New Roman" w:cs="Times New Roman" w:eastAsia="Times New Roman" w:hAnsi="Times New Roman"/>
          <w:b w:val="1"/>
          <w:bCs w:val="1"/>
          <w:i w:val="1"/>
          <w:iCs w:val="1"/>
          <w:sz w:val="40"/>
          <w:szCs w:val="40"/>
        </w:rPr>
      </w:pPr>
      <w:bookmarkStart w:colFirst="0" w:colLast="0" w:name="_rdsrbdircn8z" w:id="14"/>
      <w:bookmarkEnd w:id="14"/>
      <w:r w:rsidDel="00000000" w:rsidR="00000000" w:rsidRPr="00000000">
        <w:rPr>
          <w:rFonts w:ascii="Inter" w:cs="Inter" w:eastAsia="Inter" w:hAnsi="Inter"/>
          <w:b w:val="1"/>
          <w:bCs w:val="1"/>
          <w:sz w:val="40"/>
          <w:szCs w:val="40"/>
          <w:rtl w:val="0"/>
        </w:rPr>
        <w:t xml:space="preserve">6. Risk Assessment and Mitigation</w:t>
      </w:r>
      <w:r w:rsidDel="00000000" w:rsidR="00000000" w:rsidRPr="00000000">
        <w:rPr>
          <w:rtl w:val="0"/>
        </w:rPr>
      </w:r>
    </w:p>
    <w:p w:rsidR="00000000" w:rsidDel="00000000" w:rsidP="00000000" w:rsidRDefault="00000000" w:rsidRPr="00000000" w14:paraId="0000015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identify adoption and sustainability risks that could affect the solution’s long-term use, maintenance, or impact. Risks listed here should focus on operational, institutional, data, resource, and user-adoption considerations, rather than technical build or development risks, which are addressed in other toolkit resources.</w:t>
      </w:r>
    </w:p>
    <w:p w:rsidR="00000000" w:rsidDel="00000000" w:rsidP="00000000" w:rsidRDefault="00000000" w:rsidRPr="00000000" w14:paraId="0000015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List key risks and proposed mitigation strategies below.</w:t>
      </w:r>
    </w:p>
    <w:tbl>
      <w:tblPr>
        <w:tblStyle w:val="Table9"/>
        <w:tblW w:w="9360.0" w:type="dxa"/>
        <w:jc w:val="left"/>
        <w:tblLayout w:type="fixed"/>
        <w:tblLook w:val="0600"/>
      </w:tblPr>
      <w:tblGrid>
        <w:gridCol w:w="1302.2199899547966"/>
        <w:gridCol w:w="2486.9110999497743"/>
        <w:gridCol w:w="1259.9095931692616"/>
        <w:gridCol w:w="977.8402812656957"/>
        <w:gridCol w:w="3333.119035660472"/>
        <w:tblGridChange w:id="0">
          <w:tblGrid>
            <w:gridCol w:w="1302.2199899547966"/>
            <w:gridCol w:w="2486.9110999497743"/>
            <w:gridCol w:w="1259.9095931692616"/>
            <w:gridCol w:w="977.8402812656957"/>
            <w:gridCol w:w="3333.11903566047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5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Area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5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5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Likelihood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Impact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5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Mitigation Strategy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Loss of key developer</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Cross-training and documentation</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data changes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and adaptable scripts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turnover at partner</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multiple focal points</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funding for maintenance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minimum support level of effort</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Adoption</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Low user uptake</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Low</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High</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Co-design and hands-on training</w:t>
            </w:r>
          </w:p>
        </w:tc>
      </w:tr>
    </w:tbl>
    <w:p w:rsidR="00000000" w:rsidDel="00000000" w:rsidP="00000000" w:rsidRDefault="00000000" w:rsidRPr="00000000" w14:paraId="0000017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pStyle w:val="Heading2"/>
        <w:spacing w:after="200" w:before="200" w:line="240" w:lineRule="auto"/>
        <w:rPr>
          <w:rFonts w:ascii="Times New Roman" w:cs="Times New Roman" w:eastAsia="Times New Roman" w:hAnsi="Times New Roman"/>
          <w:b w:val="1"/>
          <w:bCs w:val="1"/>
          <w:i w:val="1"/>
          <w:iCs w:val="1"/>
          <w:sz w:val="40"/>
          <w:szCs w:val="40"/>
        </w:rPr>
      </w:pPr>
      <w:bookmarkStart w:colFirst="0" w:colLast="0" w:name="_exuibc1xo4de" w:id="15"/>
      <w:bookmarkEnd w:id="15"/>
      <w:r w:rsidDel="00000000" w:rsidR="00000000" w:rsidRPr="00000000">
        <w:rPr>
          <w:rFonts w:ascii="Inter" w:cs="Inter" w:eastAsia="Inter" w:hAnsi="Inter"/>
          <w:b w:val="1"/>
          <w:bCs w:val="1"/>
          <w:sz w:val="40"/>
          <w:szCs w:val="40"/>
          <w:rtl w:val="0"/>
        </w:rPr>
        <w:t xml:space="preserve">7. Handover &amp; Long-Term Maintenance Plan </w:t>
      </w:r>
      <w:r w:rsidDel="00000000" w:rsidR="00000000" w:rsidRPr="00000000">
        <w:rPr>
          <w:rtl w:val="0"/>
        </w:rPr>
      </w:r>
    </w:p>
    <w:p w:rsidR="00000000" w:rsidDel="00000000" w:rsidP="00000000" w:rsidRDefault="00000000" w:rsidRPr="00000000" w14:paraId="0000017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describe how the solution will transition from development to operational use and sustained ownership. It outlines the conditions and processes required to ensure a smooth handover, continuity of operations, and long-term maintenance after the initial development phase concludes.</w:t>
      </w:r>
    </w:p>
    <w:p w:rsidR="00000000" w:rsidDel="00000000" w:rsidP="00000000" w:rsidRDefault="00000000" w:rsidRPr="00000000" w14:paraId="0000017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widowControl w:val="0"/>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You may use the table below to document handover and long-term maintenance elements.</w:t>
      </w:r>
    </w:p>
    <w:tbl>
      <w:tblPr>
        <w:tblStyle w:val="Table10"/>
        <w:tblW w:w="9633.333333333332" w:type="dxa"/>
        <w:jc w:val="left"/>
        <w:tblLayout w:type="fixed"/>
        <w:tblLook w:val="0600"/>
      </w:tblPr>
      <w:tblGrid>
        <w:gridCol w:w="4620"/>
        <w:gridCol w:w="1410"/>
        <w:gridCol w:w="1800"/>
        <w:gridCol w:w="1803.3333333333326"/>
        <w:tblGridChange w:id="0">
          <w:tblGrid>
            <w:gridCol w:w="4620"/>
            <w:gridCol w:w="1410"/>
            <w:gridCol w:w="1800"/>
            <w:gridCol w:w="1803.3333333333326"/>
          </w:tblGrid>
        </w:tblGridChange>
      </w:tblGrid>
      <w:tr>
        <w:trPr>
          <w:cantSplit w:val="0"/>
          <w:trHeight w:val="60"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7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Handover &amp; Maintenance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7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7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Owner / Responsible Party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7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Timing / Frequency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Handover conditions (e.g., training completed, pilot executed, documentation finalized)</w:t>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60" w:hRule="atLeast"/>
          <w:tblHeader w:val="0"/>
        </w:trPr>
        <w:tc>
          <w:tcPr>
            <w:tcBorders>
              <w:top w:color="000000" w:space="0" w:sz="0" w:val="nil"/>
              <w:left w:color="000000" w:space="0" w:sz="0" w:val="nil"/>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Required documentation (user guides, SOPs, technical and data documentation)</w:t>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Knowledge transfer activities (training sessions, shadowing, walkthroughs, recorded demos)</w:t>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Post-handover contacts (technical, data, operational support)</w:t>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Expected update cycle after handover (code, documentation)</w:t>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Conditions for re-engagement (major upgrades, data changes, system modifications)</w:t>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b7b7b7"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b7b7b7"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94">
      <w:pPr>
        <w:pStyle w:val="Heading2"/>
        <w:spacing w:after="200" w:before="200" w:line="240" w:lineRule="auto"/>
        <w:rPr>
          <w:rFonts w:ascii="Inter" w:cs="Inter" w:eastAsia="Inter" w:hAnsi="Inter"/>
          <w:b w:val="1"/>
          <w:bCs w:val="1"/>
          <w:sz w:val="40"/>
          <w:szCs w:val="40"/>
        </w:rPr>
      </w:pPr>
      <w:bookmarkStart w:colFirst="0" w:colLast="0" w:name="_tigypmhgk74p" w:id="16"/>
      <w:bookmarkEnd w:id="16"/>
      <w:r w:rsidDel="00000000" w:rsidR="00000000" w:rsidRPr="00000000">
        <w:rPr>
          <w:rFonts w:ascii="Inter" w:cs="Inter" w:eastAsia="Inter" w:hAnsi="Inter"/>
          <w:b w:val="1"/>
          <w:bCs w:val="1"/>
          <w:sz w:val="40"/>
          <w:szCs w:val="40"/>
          <w:rtl w:val="0"/>
        </w:rPr>
        <w:t xml:space="preserve">8. Exit or Retirement Plan</w:t>
      </w:r>
    </w:p>
    <w:p w:rsidR="00000000" w:rsidDel="00000000" w:rsidP="00000000" w:rsidRDefault="00000000" w:rsidRPr="00000000" w14:paraId="00000195">
      <w:pPr>
        <w:widowControl w:val="0"/>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9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document the end-of-life pathway for the solution, outlining how it will be responsibly retired, archived, or replaced if it is no longer needed, supported, or effective. Planning for exit or retirement helps ensure transparency for users and preserves access to relevant code, data, and documentation.</w:t>
      </w:r>
    </w:p>
    <w:p w:rsidR="00000000" w:rsidDel="00000000" w:rsidP="00000000" w:rsidRDefault="00000000" w:rsidRPr="00000000" w14:paraId="0000019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Use the table below to document exit or retirement considerations.</w:t>
      </w:r>
      <w:r w:rsidDel="00000000" w:rsidR="00000000" w:rsidRPr="00000000">
        <w:rPr>
          <w:rtl w:val="0"/>
        </w:rPr>
      </w:r>
    </w:p>
    <w:tbl>
      <w:tblPr>
        <w:tblStyle w:val="Table11"/>
        <w:tblW w:w="9360.0" w:type="dxa"/>
        <w:jc w:val="left"/>
        <w:tblLayout w:type="fixed"/>
        <w:tblLook w:val="0600"/>
      </w:tblPr>
      <w:tblGrid>
        <w:gridCol w:w="4940.664282064385"/>
        <w:gridCol w:w="1353.5411343893716"/>
        <w:gridCol w:w="1783.9959121103732"/>
        <w:gridCol w:w="1281.7986714358713"/>
        <w:tblGridChange w:id="0">
          <w:tblGrid>
            <w:gridCol w:w="4940.664282064385"/>
            <w:gridCol w:w="1353.5411343893716"/>
            <w:gridCol w:w="1783.9959121103732"/>
            <w:gridCol w:w="1281.79867143587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9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Exit / Retirement Element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9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9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Owner / Responsible Party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center"/>
          </w:tcPr>
          <w:p w:rsidR="00000000" w:rsidDel="00000000" w:rsidP="00000000" w:rsidRDefault="00000000" w:rsidRPr="00000000" w14:paraId="0000019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Timing / Triggers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Criteria for retiring or replacing the solution (e.g., no longer meets user needs, replaced by newer system, loss of data availability, lack of resources)</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Steps to archive code and data (final versioning, storage location, documentation, access permissions)</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 plan for users (advance notice, timelines, alternatives, points of contact)</w:t>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 path to alternative solutions, if required (data transfer, workflow transition, user guidance)</w:t>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cccccc"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4" w:val="single"/>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AD">
      <w:pPr>
        <w:widowControl w:val="0"/>
        <w:spacing w:line="240" w:lineRule="auto"/>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Inter">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spacing w:line="276"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NASA Earth Action Solutions Co-Development Toolkit, v0.1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32"/>
        <w:szCs w:val="32"/>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Inter-regular.ttf"/><Relationship Id="rId5" Type="http://schemas.openxmlformats.org/officeDocument/2006/relationships/font" Target="fonts/Inter-bold.ttf"/><Relationship Id="rId6" Type="http://schemas.openxmlformats.org/officeDocument/2006/relationships/font" Target="fonts/Inter-italic.ttf"/><Relationship Id="rId7"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